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1C00" w14:textId="4321BDE5" w:rsidR="00020E17" w:rsidRDefault="00DA0976" w:rsidP="00DA09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18"/>
          <w:szCs w:val="18"/>
        </w:rPr>
      </w:pPr>
      <w:r>
        <w:rPr>
          <w:rFonts w:ascii="Calibri" w:eastAsia="Times New Roman" w:hAnsi="Calibri" w:cs="Calibri"/>
          <w:noProof/>
          <w:color w:val="222222"/>
          <w:sz w:val="18"/>
          <w:szCs w:val="18"/>
        </w:rPr>
        <w:drawing>
          <wp:inline distT="0" distB="0" distL="0" distR="0" wp14:anchorId="226D92CF" wp14:editId="593436A8">
            <wp:extent cx="1117855" cy="1219478"/>
            <wp:effectExtent l="0" t="0" r="6350" b="0"/>
            <wp:docPr id="2" name="Picture 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855" cy="121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EE57E" w14:textId="04AD6C24" w:rsidR="00DA0976" w:rsidRDefault="00DA0976" w:rsidP="00DA09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18"/>
          <w:szCs w:val="18"/>
        </w:rPr>
      </w:pPr>
      <w:r>
        <w:rPr>
          <w:rFonts w:ascii="Calibri" w:eastAsia="Times New Roman" w:hAnsi="Calibri" w:cs="Calibri"/>
          <w:color w:val="222222"/>
          <w:sz w:val="18"/>
          <w:szCs w:val="18"/>
        </w:rPr>
        <w:t xml:space="preserve">Ohio State Neurosurgical Society Annual Meeting </w:t>
      </w:r>
    </w:p>
    <w:p w14:paraId="28009716" w14:textId="0C1A5947" w:rsidR="00DA0976" w:rsidRDefault="00DA0976" w:rsidP="00DA09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18"/>
          <w:szCs w:val="18"/>
        </w:rPr>
      </w:pPr>
      <w:r>
        <w:rPr>
          <w:rFonts w:ascii="Calibri" w:eastAsia="Times New Roman" w:hAnsi="Calibri" w:cs="Calibri"/>
          <w:color w:val="222222"/>
          <w:sz w:val="18"/>
          <w:szCs w:val="18"/>
        </w:rPr>
        <w:t>September 10, 2022</w:t>
      </w:r>
    </w:p>
    <w:p w14:paraId="69DFB51C" w14:textId="1B16479F" w:rsidR="00DA0976" w:rsidRDefault="00DA0976" w:rsidP="00DA09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18"/>
          <w:szCs w:val="18"/>
        </w:rPr>
      </w:pPr>
      <w:r>
        <w:rPr>
          <w:rFonts w:ascii="Calibri" w:eastAsia="Times New Roman" w:hAnsi="Calibri" w:cs="Calibri"/>
          <w:color w:val="222222"/>
          <w:sz w:val="18"/>
          <w:szCs w:val="18"/>
        </w:rPr>
        <w:t>Nationwide Hotel and Conference Center</w:t>
      </w:r>
    </w:p>
    <w:p w14:paraId="3513B3B0" w14:textId="77777777" w:rsidR="001228ED" w:rsidRPr="00020E17" w:rsidRDefault="001228ED" w:rsidP="00020E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18"/>
          <w:szCs w:val="18"/>
        </w:rPr>
      </w:pPr>
    </w:p>
    <w:tbl>
      <w:tblPr>
        <w:tblW w:w="9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4550"/>
      </w:tblGrid>
      <w:tr w:rsidR="00020E17" w:rsidRPr="00020E17" w14:paraId="46BC063B" w14:textId="77777777" w:rsidTr="00020E17">
        <w:tc>
          <w:tcPr>
            <w:tcW w:w="9800" w:type="dxa"/>
            <w:gridSpan w:val="2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2B7A8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98ECAA" w14:textId="77777777" w:rsidR="00020E17" w:rsidRPr="00020E17" w:rsidRDefault="00020E17" w:rsidP="0002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23130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FFFFFF"/>
                <w:bdr w:val="none" w:sz="0" w:space="0" w:color="auto" w:frame="1"/>
              </w:rPr>
              <w:t>Exciting agenda with nearly 30 expert speakers!</w:t>
            </w:r>
          </w:p>
        </w:tc>
      </w:tr>
      <w:tr w:rsidR="00020E17" w:rsidRPr="00020E17" w14:paraId="0EE0E83F" w14:textId="77777777" w:rsidTr="00020E17">
        <w:tc>
          <w:tcPr>
            <w:tcW w:w="525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7E26C" w14:textId="77777777" w:rsidR="00020E17" w:rsidRPr="00020E17" w:rsidRDefault="00020E17" w:rsidP="00020E1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7:30 am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C60CAB" w14:textId="77777777" w:rsidR="00020E17" w:rsidRPr="00020E17" w:rsidRDefault="00020E17" w:rsidP="00020E1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033977"/>
                <w:sz w:val="18"/>
                <w:szCs w:val="18"/>
                <w:bdr w:val="none" w:sz="0" w:space="0" w:color="auto" w:frame="1"/>
              </w:rPr>
              <w:t>ALL REGISTRANTS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 - Registration / Breakfast / Visit Exhibits &amp; Posters</w:t>
            </w:r>
          </w:p>
        </w:tc>
      </w:tr>
      <w:tr w:rsidR="00020E17" w:rsidRPr="00020E17" w14:paraId="3C7E74C5" w14:textId="77777777" w:rsidTr="00020E17">
        <w:tc>
          <w:tcPr>
            <w:tcW w:w="525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3A708E" w14:textId="77777777" w:rsidR="00020E17" w:rsidRPr="00020E17" w:rsidRDefault="00020E17" w:rsidP="00020E1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8:30 am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FCF638" w14:textId="77777777" w:rsidR="00020E17" w:rsidRPr="00020E17" w:rsidRDefault="00020E17" w:rsidP="00020E1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2375D0"/>
                <w:sz w:val="18"/>
                <w:szCs w:val="18"/>
                <w:bdr w:val="none" w:sz="0" w:space="0" w:color="auto" w:frame="1"/>
              </w:rPr>
              <w:t>PHYSICIANS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 - Welcome - Patrick Youssef, MD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br/>
            </w:r>
            <w:r w:rsidRPr="00020E17">
              <w:rPr>
                <w:rFonts w:ascii="Arial" w:eastAsia="Times New Roman" w:hAnsi="Arial" w:cs="Arial"/>
                <w:b/>
                <w:bCs/>
                <w:color w:val="D4AC42"/>
                <w:sz w:val="18"/>
                <w:szCs w:val="18"/>
                <w:bdr w:val="none" w:sz="0" w:space="0" w:color="auto" w:frame="1"/>
              </w:rPr>
              <w:t>APP’S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 - Welcome – Mark Constable, APRN-CNP</w:t>
            </w:r>
          </w:p>
        </w:tc>
      </w:tr>
      <w:tr w:rsidR="00020E17" w:rsidRPr="00020E17" w14:paraId="169B35DE" w14:textId="77777777" w:rsidTr="00020E17">
        <w:tc>
          <w:tcPr>
            <w:tcW w:w="525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528CC5" w14:textId="77777777" w:rsidR="00020E17" w:rsidRPr="00020E17" w:rsidRDefault="00020E17" w:rsidP="00020E1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8:45 am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EF4E4A" w14:textId="71F0AF29" w:rsidR="00020E17" w:rsidRPr="00020E17" w:rsidRDefault="00020E17" w:rsidP="00020E1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2375D0"/>
                <w:sz w:val="18"/>
                <w:szCs w:val="18"/>
                <w:bdr w:val="none" w:sz="0" w:space="0" w:color="auto" w:frame="1"/>
              </w:rPr>
              <w:t>PHYSICIANS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 - SPINE Point/Counterpoint: Spinal Deformity Correction Techniques: Open vs. MIS - Moderator and Discussants: </w:t>
            </w:r>
            <w:r w:rsidR="00326C6C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Justin </w:t>
            </w:r>
            <w:proofErr w:type="spellStart"/>
            <w:r w:rsidR="00326C6C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Virojanapa</w:t>
            </w:r>
            <w:proofErr w:type="spellEnd"/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, </w:t>
            </w:r>
            <w:r w:rsidR="00326C6C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DO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; Stephanus Viljoen, MD; Michael Steinmetz, MD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br/>
            </w:r>
            <w:r w:rsidRPr="00020E17">
              <w:rPr>
                <w:rFonts w:ascii="Arial" w:eastAsia="Times New Roman" w:hAnsi="Arial" w:cs="Arial"/>
                <w:b/>
                <w:bCs/>
                <w:color w:val="D4AC42"/>
                <w:sz w:val="18"/>
                <w:szCs w:val="18"/>
                <w:bdr w:val="none" w:sz="0" w:space="0" w:color="auto" w:frame="1"/>
              </w:rPr>
              <w:t>APP’S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 – General Spine Evaluation and Examination – Jenn Hawkins, RFNA, MSN, APRN, CNP</w:t>
            </w:r>
          </w:p>
        </w:tc>
      </w:tr>
      <w:tr w:rsidR="00020E17" w:rsidRPr="00020E17" w14:paraId="26DEA798" w14:textId="77777777" w:rsidTr="00020E17">
        <w:tc>
          <w:tcPr>
            <w:tcW w:w="525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6E35FA" w14:textId="77777777" w:rsidR="00020E17" w:rsidRPr="00020E17" w:rsidRDefault="00020E17" w:rsidP="00020E1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9:15 am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 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1997BB" w14:textId="608576E6" w:rsidR="00020E17" w:rsidRPr="00020E17" w:rsidRDefault="00020E17" w:rsidP="00020E1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2375D0"/>
                <w:sz w:val="18"/>
                <w:szCs w:val="18"/>
                <w:bdr w:val="none" w:sz="0" w:space="0" w:color="auto" w:frame="1"/>
              </w:rPr>
              <w:t>PHYSICIANS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 - VASCULAR Point/Counterpoint: Evolving Treatment Paradigms in Ruptured Aneurysms - Moderator and Discussants: </w:t>
            </w:r>
            <w:r w:rsidR="00326C6C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Andrew Ringer,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 MD; Ciaran Powers, MD, PhD, FAANS</w:t>
            </w:r>
            <w:r w:rsidR="00326C6C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, Patrick Youssef, MD, FAANS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br/>
            </w:r>
            <w:r w:rsidRPr="00020E17">
              <w:rPr>
                <w:rFonts w:ascii="Arial" w:eastAsia="Times New Roman" w:hAnsi="Arial" w:cs="Arial"/>
                <w:b/>
                <w:bCs/>
                <w:color w:val="D4AC42"/>
                <w:sz w:val="18"/>
                <w:szCs w:val="18"/>
                <w:bdr w:val="none" w:sz="0" w:space="0" w:color="auto" w:frame="1"/>
              </w:rPr>
              <w:t>APP’S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 – Anticoagulation Reversal for Neurosurgery – J. Brett Fleming, MD</w:t>
            </w:r>
          </w:p>
        </w:tc>
      </w:tr>
      <w:tr w:rsidR="00020E17" w:rsidRPr="00020E17" w14:paraId="07535D90" w14:textId="77777777" w:rsidTr="00020E17">
        <w:tc>
          <w:tcPr>
            <w:tcW w:w="525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D030B5" w14:textId="77777777" w:rsidR="00020E17" w:rsidRPr="00020E17" w:rsidRDefault="00020E17" w:rsidP="00020E1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9:45 am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E97C53" w14:textId="77777777" w:rsidR="00020E17" w:rsidRPr="00020E17" w:rsidRDefault="00020E17" w:rsidP="00020E1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2375D0"/>
                <w:sz w:val="18"/>
                <w:szCs w:val="18"/>
                <w:bdr w:val="none" w:sz="0" w:space="0" w:color="auto" w:frame="1"/>
              </w:rPr>
              <w:t>PHYSICIANS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 - FUNCTIONAL Point/Counterpoint: DBS Technique: Awake vs. Asleep - Moderator and Discussants: John P. Sheehy, MD; Brian </w:t>
            </w:r>
            <w:proofErr w:type="spellStart"/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Dalm</w:t>
            </w:r>
            <w:proofErr w:type="spellEnd"/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, MD; Juan Torres-</w:t>
            </w:r>
            <w:proofErr w:type="spellStart"/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Reveron</w:t>
            </w:r>
            <w:proofErr w:type="spellEnd"/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, MD, PhD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br/>
            </w:r>
            <w:r w:rsidRPr="00020E17">
              <w:rPr>
                <w:rFonts w:ascii="Arial" w:eastAsia="Times New Roman" w:hAnsi="Arial" w:cs="Arial"/>
                <w:b/>
                <w:bCs/>
                <w:color w:val="D4AC42"/>
                <w:sz w:val="18"/>
                <w:szCs w:val="18"/>
                <w:bdr w:val="none" w:sz="0" w:space="0" w:color="auto" w:frame="1"/>
              </w:rPr>
              <w:t>APP’S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 – Deep Brain Stimulators – Cesar P. Panganiban, Jr. FNP-C</w:t>
            </w:r>
          </w:p>
        </w:tc>
      </w:tr>
      <w:tr w:rsidR="00020E17" w:rsidRPr="00020E17" w14:paraId="2B71FE0B" w14:textId="77777777" w:rsidTr="00020E17">
        <w:tc>
          <w:tcPr>
            <w:tcW w:w="525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3915E3" w14:textId="77777777" w:rsidR="00020E17" w:rsidRPr="00020E17" w:rsidRDefault="00020E17" w:rsidP="00020E1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10:15 am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095E43" w14:textId="77777777" w:rsidR="00020E17" w:rsidRPr="00020E17" w:rsidRDefault="00020E17" w:rsidP="00020E1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033977"/>
                <w:sz w:val="18"/>
                <w:szCs w:val="18"/>
                <w:bdr w:val="none" w:sz="0" w:space="0" w:color="auto" w:frame="1"/>
              </w:rPr>
              <w:t>ALL REGISTRANTS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 - Break / Visit Exhibits &amp; Posters</w:t>
            </w:r>
          </w:p>
        </w:tc>
      </w:tr>
      <w:tr w:rsidR="00020E17" w:rsidRPr="00020E17" w14:paraId="3CFA9DA7" w14:textId="77777777" w:rsidTr="00020E17">
        <w:tc>
          <w:tcPr>
            <w:tcW w:w="525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2BAD55" w14:textId="77777777" w:rsidR="00020E17" w:rsidRPr="00020E17" w:rsidRDefault="00020E17" w:rsidP="00020E1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11:00 am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A57EB4" w14:textId="77777777" w:rsidR="00020E17" w:rsidRPr="00020E17" w:rsidRDefault="00020E17" w:rsidP="00020E1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033977"/>
                <w:sz w:val="18"/>
                <w:szCs w:val="18"/>
                <w:bdr w:val="none" w:sz="0" w:space="0" w:color="auto" w:frame="1"/>
              </w:rPr>
              <w:t>ALL REGISTRANTS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 - National Affairs Update</w:t>
            </w:r>
          </w:p>
        </w:tc>
      </w:tr>
      <w:tr w:rsidR="00020E17" w:rsidRPr="00020E17" w14:paraId="20FFCDB8" w14:textId="77777777" w:rsidTr="00020E17">
        <w:tc>
          <w:tcPr>
            <w:tcW w:w="525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7ED679" w14:textId="77777777" w:rsidR="00020E17" w:rsidRPr="00020E17" w:rsidRDefault="00020E17" w:rsidP="00020E1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11:15 am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F6D2C0" w14:textId="77777777" w:rsidR="00020E17" w:rsidRPr="00020E17" w:rsidRDefault="00020E17" w:rsidP="00020E1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033977"/>
                <w:sz w:val="18"/>
                <w:szCs w:val="18"/>
                <w:bdr w:val="none" w:sz="0" w:space="0" w:color="auto" w:frame="1"/>
              </w:rPr>
              <w:t>ALL REGISTRANTS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 – Physician in Training Presentations</w:t>
            </w:r>
          </w:p>
        </w:tc>
      </w:tr>
      <w:tr w:rsidR="00020E17" w:rsidRPr="00020E17" w14:paraId="3A3B381F" w14:textId="77777777" w:rsidTr="00020E17">
        <w:tc>
          <w:tcPr>
            <w:tcW w:w="525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83C7A4" w14:textId="77777777" w:rsidR="00020E17" w:rsidRPr="00020E17" w:rsidRDefault="00020E17" w:rsidP="00020E1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12:00 pm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8E901B" w14:textId="77777777" w:rsidR="00020E17" w:rsidRPr="00020E17" w:rsidRDefault="00020E17" w:rsidP="00020E1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033977"/>
                <w:sz w:val="18"/>
                <w:szCs w:val="18"/>
                <w:bdr w:val="none" w:sz="0" w:space="0" w:color="auto" w:frame="1"/>
              </w:rPr>
              <w:t>ALL REGISTRANTS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 - Lunch / Visit Exhibits &amp; Posters</w:t>
            </w:r>
          </w:p>
        </w:tc>
      </w:tr>
      <w:tr w:rsidR="00020E17" w:rsidRPr="00020E17" w14:paraId="27E74E89" w14:textId="77777777" w:rsidTr="00020E17">
        <w:tc>
          <w:tcPr>
            <w:tcW w:w="525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E4CEB6" w14:textId="77777777" w:rsidR="00020E17" w:rsidRPr="00020E17" w:rsidRDefault="00020E17" w:rsidP="00020E1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lastRenderedPageBreak/>
              <w:t>1:00 pm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DAE09A" w14:textId="77777777" w:rsidR="00020E17" w:rsidRPr="00020E17" w:rsidRDefault="00020E17" w:rsidP="00020E1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033977"/>
                <w:sz w:val="18"/>
                <w:szCs w:val="18"/>
                <w:bdr w:val="none" w:sz="0" w:space="0" w:color="auto" w:frame="1"/>
              </w:rPr>
              <w:t>ALL REGISTRANTS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 - Keynote Speaker: Perfusion Pressure Management in the Perioperative Treatment of Spinal Cord Pathology - Mark Hadley, MD</w:t>
            </w:r>
          </w:p>
        </w:tc>
      </w:tr>
      <w:tr w:rsidR="00020E17" w:rsidRPr="00020E17" w14:paraId="7C1CEAA0" w14:textId="77777777" w:rsidTr="00020E17">
        <w:tc>
          <w:tcPr>
            <w:tcW w:w="525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BCA865" w14:textId="77777777" w:rsidR="00020E17" w:rsidRPr="00020E17" w:rsidRDefault="00020E17" w:rsidP="00020E1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1:45 pm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3497CB" w14:textId="77777777" w:rsidR="00020E17" w:rsidRDefault="00326C6C" w:rsidP="00020E1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2375D0"/>
                <w:sz w:val="18"/>
                <w:szCs w:val="18"/>
                <w:bdr w:val="none" w:sz="0" w:space="0" w:color="auto" w:frame="1"/>
              </w:rPr>
              <w:t>PHYSICIANS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020E17"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- Guest Lecture: Getting to Win-Win: Negotiations and the Neurosurgeon - Deborah L. </w:t>
            </w:r>
            <w:proofErr w:type="spellStart"/>
            <w:r w:rsidR="00020E17"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Benzil</w:t>
            </w:r>
            <w:proofErr w:type="spellEnd"/>
            <w:r w:rsidR="00020E17"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, MD, FACS, FAANS</w:t>
            </w:r>
          </w:p>
          <w:p w14:paraId="33952799" w14:textId="3E2DDC4C" w:rsidR="00326C6C" w:rsidRPr="00020E17" w:rsidRDefault="00326C6C" w:rsidP="00020E1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proofErr w:type="gramStart"/>
            <w:r w:rsidRPr="00020E17">
              <w:rPr>
                <w:rFonts w:ascii="Arial" w:eastAsia="Times New Roman" w:hAnsi="Arial" w:cs="Arial"/>
                <w:b/>
                <w:bCs/>
                <w:color w:val="D4AC42"/>
                <w:sz w:val="18"/>
                <w:szCs w:val="18"/>
                <w:bdr w:val="none" w:sz="0" w:space="0" w:color="auto" w:frame="1"/>
              </w:rPr>
              <w:t>APP’S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 --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 Topic TBC, Meghan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Landreville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, PA-C</w:t>
            </w:r>
          </w:p>
        </w:tc>
      </w:tr>
      <w:tr w:rsidR="00020E17" w:rsidRPr="00020E17" w14:paraId="682B8270" w14:textId="77777777" w:rsidTr="00020E17">
        <w:tc>
          <w:tcPr>
            <w:tcW w:w="525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61F85A" w14:textId="77777777" w:rsidR="00020E17" w:rsidRPr="00020E17" w:rsidRDefault="00020E17" w:rsidP="00020E1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2:30 pm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819B31" w14:textId="446D8F24" w:rsidR="00020E17" w:rsidRPr="00020E17" w:rsidRDefault="00020E17" w:rsidP="00020E1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2375D0"/>
                <w:sz w:val="18"/>
                <w:szCs w:val="18"/>
                <w:bdr w:val="none" w:sz="0" w:space="0" w:color="auto" w:frame="1"/>
              </w:rPr>
              <w:t>PHYSICIANS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 - PEDIATRIC Point/Counterpoint: Craniopharyngiomas: Pros and Cons of Craniotomy versus Endoscopic Endonasal - Moderator and Discussants: Jeffrey Leonard, MD; </w:t>
            </w:r>
            <w:r w:rsidR="00326C6C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Ammar </w:t>
            </w:r>
            <w:proofErr w:type="spellStart"/>
            <w:r w:rsidR="00326C6C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Shaikhouni</w:t>
            </w:r>
            <w:proofErr w:type="spellEnd"/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, MD; </w:t>
            </w:r>
            <w:r w:rsidR="00326C6C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Jonathan </w:t>
            </w:r>
            <w:proofErr w:type="spellStart"/>
            <w:r w:rsidR="00326C6C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Pindrik</w:t>
            </w:r>
            <w:proofErr w:type="spellEnd"/>
            <w:r w:rsidR="00326C6C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, MD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br/>
            </w:r>
            <w:r w:rsidRPr="00020E17">
              <w:rPr>
                <w:rFonts w:ascii="Arial" w:eastAsia="Times New Roman" w:hAnsi="Arial" w:cs="Arial"/>
                <w:b/>
                <w:bCs/>
                <w:color w:val="D4AC42"/>
                <w:sz w:val="18"/>
                <w:szCs w:val="18"/>
                <w:bdr w:val="none" w:sz="0" w:space="0" w:color="auto" w:frame="1"/>
              </w:rPr>
              <w:t>APP’S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 – Transitional Clinic from Children’s Hospital to Adult Care – Sm</w:t>
            </w:r>
            <w:r w:rsidR="00F700CD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ru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ti Patel, MD</w:t>
            </w:r>
          </w:p>
        </w:tc>
      </w:tr>
      <w:tr w:rsidR="00020E17" w:rsidRPr="00020E17" w14:paraId="61DA63AB" w14:textId="77777777" w:rsidTr="00020E17">
        <w:tc>
          <w:tcPr>
            <w:tcW w:w="525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37E225" w14:textId="77777777" w:rsidR="00020E17" w:rsidRPr="00020E17" w:rsidRDefault="00020E17" w:rsidP="00020E1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3:00 pm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EB8F04" w14:textId="77777777" w:rsidR="00020E17" w:rsidRPr="00020E17" w:rsidRDefault="00020E17" w:rsidP="00020E1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2375D0"/>
                <w:sz w:val="18"/>
                <w:szCs w:val="18"/>
                <w:bdr w:val="none" w:sz="0" w:space="0" w:color="auto" w:frame="1"/>
              </w:rPr>
              <w:t>PHYSICIANS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 - TUMOR Point/Counterpoint: Open Discussion for the Variable Management of Tumors - Moderator and Discussants: Christopher Taylor, MD; Douglas Hardesty, MD, FAANS; Pablo </w:t>
            </w:r>
            <w:proofErr w:type="spellStart"/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Recinos</w:t>
            </w:r>
            <w:proofErr w:type="spellEnd"/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, MD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br/>
            </w:r>
            <w:r w:rsidRPr="00020E17">
              <w:rPr>
                <w:rFonts w:ascii="Arial" w:eastAsia="Times New Roman" w:hAnsi="Arial" w:cs="Arial"/>
                <w:b/>
                <w:bCs/>
                <w:color w:val="D4AC42"/>
                <w:sz w:val="18"/>
                <w:szCs w:val="18"/>
                <w:bdr w:val="none" w:sz="0" w:space="0" w:color="auto" w:frame="1"/>
              </w:rPr>
              <w:t>APP’S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 – Brain Death – Zoe Zhang, MD</w:t>
            </w:r>
          </w:p>
        </w:tc>
      </w:tr>
      <w:tr w:rsidR="00020E17" w:rsidRPr="00020E17" w14:paraId="3FBDDBF8" w14:textId="77777777" w:rsidTr="00020E17">
        <w:tc>
          <w:tcPr>
            <w:tcW w:w="525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2E8173" w14:textId="77777777" w:rsidR="00020E17" w:rsidRPr="00020E17" w:rsidRDefault="00020E17" w:rsidP="00020E1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3:30 pm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28C297" w14:textId="128F2ED4" w:rsidR="00020E17" w:rsidRPr="00020E17" w:rsidRDefault="00020E17" w:rsidP="00020E1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2375D0"/>
                <w:sz w:val="18"/>
                <w:szCs w:val="18"/>
                <w:bdr w:val="none" w:sz="0" w:space="0" w:color="auto" w:frame="1"/>
              </w:rPr>
              <w:t>PHYSICIANS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 xml:space="preserve"> -TRAUMA Point/Counterpoint: Multimodality Monitoring – useless or useful? - Moderator and Discussants: </w:t>
            </w:r>
            <w:r w:rsidR="00F700CD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George Yang, MD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, Chris Karas, MD, and  Laura Ngwenya, MD, PhD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br/>
            </w:r>
            <w:r w:rsidRPr="00020E17">
              <w:rPr>
                <w:rFonts w:ascii="Arial" w:eastAsia="Times New Roman" w:hAnsi="Arial" w:cs="Arial"/>
                <w:b/>
                <w:bCs/>
                <w:color w:val="D4AC42"/>
                <w:sz w:val="18"/>
                <w:szCs w:val="18"/>
                <w:bdr w:val="none" w:sz="0" w:space="0" w:color="auto" w:frame="1"/>
              </w:rPr>
              <w:t>APP’S</w:t>
            </w: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 - Neurotrauma Overview: Mild to Severe, From Concussion to OR - Andrea Thomas, MSN, FNP-BC, CCRN</w:t>
            </w:r>
          </w:p>
        </w:tc>
      </w:tr>
      <w:tr w:rsidR="00020E17" w:rsidRPr="00020E17" w14:paraId="4264B03D" w14:textId="77777777" w:rsidTr="00020E17">
        <w:tc>
          <w:tcPr>
            <w:tcW w:w="525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AC8D03" w14:textId="77777777" w:rsidR="00020E17" w:rsidRPr="00020E17" w:rsidRDefault="00020E17" w:rsidP="00020E1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4:00 pm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AA96B8" w14:textId="77777777" w:rsidR="00020E17" w:rsidRPr="00020E17" w:rsidRDefault="00020E17" w:rsidP="00020E1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Business Meeting</w:t>
            </w:r>
          </w:p>
        </w:tc>
      </w:tr>
      <w:tr w:rsidR="00020E17" w:rsidRPr="00020E17" w14:paraId="0F372ADD" w14:textId="77777777" w:rsidTr="00020E17">
        <w:tc>
          <w:tcPr>
            <w:tcW w:w="525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C9F21F" w14:textId="77777777" w:rsidR="00020E17" w:rsidRPr="00020E17" w:rsidRDefault="00020E17" w:rsidP="00020E1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</w:rPr>
              <w:t>4:45 pm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5A608E" w14:textId="77777777" w:rsidR="00020E17" w:rsidRPr="00020E17" w:rsidRDefault="00020E17" w:rsidP="00020E1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</w:rPr>
            </w:pPr>
            <w:r w:rsidRPr="00020E1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</w:rPr>
              <w:t>Adjourn</w:t>
            </w:r>
          </w:p>
        </w:tc>
      </w:tr>
    </w:tbl>
    <w:p w14:paraId="49D7410B" w14:textId="1B04B0BC" w:rsidR="00010885" w:rsidRDefault="00010885">
      <w:pPr>
        <w:rPr>
          <w:sz w:val="18"/>
          <w:szCs w:val="18"/>
        </w:rPr>
      </w:pPr>
    </w:p>
    <w:p w14:paraId="5472FB9F" w14:textId="77777777" w:rsidR="00DA0976" w:rsidRDefault="00DA0976">
      <w:r>
        <w:t xml:space="preserve">This activity has been planned and implemented in accordance with the accreditation requirements and policies of the Accreditation Council for Continuing Medical Education (ACCME) through the joint </w:t>
      </w:r>
      <w:proofErr w:type="spellStart"/>
      <w:r>
        <w:t>providership</w:t>
      </w:r>
      <w:proofErr w:type="spellEnd"/>
      <w:r>
        <w:t xml:space="preserve"> of the University of Cincinnati and The Ohio State Neurosurgical Society. </w:t>
      </w:r>
    </w:p>
    <w:p w14:paraId="44604338" w14:textId="3BFF83E0" w:rsidR="00DA0976" w:rsidRDefault="00DA0976">
      <w:r>
        <w:t xml:space="preserve">The University of Cincinnati is accredited by the ACCME to provide continuing medical education for physicians. </w:t>
      </w:r>
    </w:p>
    <w:p w14:paraId="1DFCD4F2" w14:textId="5E10C4F1" w:rsidR="00DA0976" w:rsidRPr="00020E17" w:rsidRDefault="00DA0976">
      <w:pPr>
        <w:rPr>
          <w:sz w:val="18"/>
          <w:szCs w:val="18"/>
        </w:rPr>
      </w:pPr>
      <w:r>
        <w:t>The University of Cincinnati designates this Live Activity for a maximum of 5.</w:t>
      </w:r>
      <w:r w:rsidRPr="00DA0976">
        <w:rPr>
          <w:i/>
          <w:iCs/>
        </w:rPr>
        <w:t>0 AMA PRA Category 1 Credit(s)</w:t>
      </w:r>
      <w:r>
        <w:t>™. Physicians should claim only the credit commensurate with the extent of their participation in the activity.</w:t>
      </w:r>
    </w:p>
    <w:sectPr w:rsidR="00DA0976" w:rsidRPr="00020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41E77"/>
    <w:multiLevelType w:val="multilevel"/>
    <w:tmpl w:val="FA36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66615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17"/>
    <w:rsid w:val="00010885"/>
    <w:rsid w:val="00020E17"/>
    <w:rsid w:val="001228ED"/>
    <w:rsid w:val="00326C6C"/>
    <w:rsid w:val="00DA0976"/>
    <w:rsid w:val="00F7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9ADFD"/>
  <w15:chartTrackingRefBased/>
  <w15:docId w15:val="{6B3DB4F0-04DC-4363-A334-76869B6B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20E1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2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0E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Mailbox</dc:creator>
  <cp:keywords/>
  <dc:description/>
  <cp:lastModifiedBy>Jessica Sellar</cp:lastModifiedBy>
  <cp:revision>3</cp:revision>
  <dcterms:created xsi:type="dcterms:W3CDTF">2022-08-10T15:12:00Z</dcterms:created>
  <dcterms:modified xsi:type="dcterms:W3CDTF">2022-08-10T18:31:00Z</dcterms:modified>
</cp:coreProperties>
</file>